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8211C" w14:textId="20F91082" w:rsidR="004F524E" w:rsidRPr="00480191" w:rsidRDefault="002C59FC" w:rsidP="004F524E">
      <w:pPr>
        <w:pStyle w:val="MDPI12title"/>
        <w:rPr>
          <w:rFonts w:ascii="Arial" w:hAnsi="Arial" w:cs="Arial"/>
          <w:sz w:val="24"/>
          <w:szCs w:val="24"/>
        </w:rPr>
      </w:pPr>
      <w:r w:rsidRPr="00480191">
        <w:rPr>
          <w:rFonts w:ascii="Arial" w:hAnsi="Arial" w:cs="Arial"/>
          <w:sz w:val="24"/>
          <w:szCs w:val="24"/>
        </w:rPr>
        <w:t>Technical design of PEDs</w:t>
      </w:r>
      <w:r w:rsidR="004F524E" w:rsidRPr="00480191">
        <w:rPr>
          <w:rFonts w:ascii="Arial" w:hAnsi="Arial" w:cs="Arial"/>
          <w:sz w:val="24"/>
          <w:szCs w:val="24"/>
        </w:rPr>
        <w:t xml:space="preserve"> in six European cities</w:t>
      </w:r>
    </w:p>
    <w:p w14:paraId="1869B70D" w14:textId="1B04357C" w:rsidR="001877E3" w:rsidRPr="00F058EE" w:rsidRDefault="004F524E" w:rsidP="001877E3">
      <w:pPr>
        <w:pStyle w:val="AuthorNamesSSPCR"/>
        <w:rPr>
          <w:lang w:val="es-ES"/>
        </w:rPr>
      </w:pPr>
      <w:r w:rsidRPr="00F058EE">
        <w:rPr>
          <w:lang w:val="es-ES"/>
        </w:rPr>
        <w:t>Beril Alpagut</w:t>
      </w:r>
      <w:r w:rsidR="001877E3">
        <w:rPr>
          <w:rStyle w:val="Rimandonotaapidipagina"/>
        </w:rPr>
        <w:footnoteReference w:id="2"/>
      </w:r>
      <w:r w:rsidR="001877E3" w:rsidRPr="00F058EE">
        <w:rPr>
          <w:lang w:val="es-ES"/>
        </w:rPr>
        <w:t xml:space="preserve">, </w:t>
      </w:r>
      <w:r w:rsidRPr="00F058EE">
        <w:rPr>
          <w:lang w:val="es-ES"/>
        </w:rPr>
        <w:t>Andrea Gabaldón</w:t>
      </w:r>
      <w:r w:rsidR="001877E3">
        <w:rPr>
          <w:rStyle w:val="Rimandonotaapidipagina"/>
        </w:rPr>
        <w:footnoteReference w:id="3"/>
      </w:r>
      <w:r w:rsidRPr="00F058EE">
        <w:rPr>
          <w:lang w:val="es-ES"/>
        </w:rPr>
        <w:t xml:space="preserve">, </w:t>
      </w:r>
      <w:r w:rsidRPr="00607762">
        <w:rPr>
          <w:lang w:val="es-ES"/>
        </w:rPr>
        <w:t>Cecilia Sanz</w:t>
      </w:r>
      <w:r w:rsidR="002C59FC" w:rsidRPr="00F058EE">
        <w:rPr>
          <w:rStyle w:val="Rimandonotaapidipagina"/>
          <w:lang w:val="es-ES"/>
        </w:rPr>
        <w:t>2</w:t>
      </w:r>
      <w:r>
        <w:rPr>
          <w:lang w:val="es-ES"/>
        </w:rPr>
        <w:t xml:space="preserve">, </w:t>
      </w:r>
      <w:r w:rsidRPr="00607762">
        <w:rPr>
          <w:lang w:val="es-ES"/>
        </w:rPr>
        <w:t>Patxi Hernandez</w:t>
      </w:r>
      <w:r>
        <w:rPr>
          <w:rStyle w:val="Rimandonotaapidipagina"/>
        </w:rPr>
        <w:footnoteReference w:id="4"/>
      </w:r>
      <w:r w:rsidRPr="00F058EE">
        <w:rPr>
          <w:lang w:val="es-ES"/>
        </w:rPr>
        <w:t xml:space="preserve"> </w:t>
      </w:r>
      <w:r w:rsidR="001877E3" w:rsidRPr="00F058EE">
        <w:rPr>
          <w:lang w:val="es-ES"/>
        </w:rPr>
        <w:t xml:space="preserve"> and </w:t>
      </w:r>
      <w:r w:rsidRPr="00607762">
        <w:rPr>
          <w:lang w:val="es-ES"/>
        </w:rPr>
        <w:t>Arantza</w:t>
      </w:r>
      <w:r>
        <w:rPr>
          <w:lang w:val="es-ES"/>
        </w:rPr>
        <w:t xml:space="preserve"> Lopez</w:t>
      </w:r>
      <w:r w:rsidRPr="00F058EE">
        <w:rPr>
          <w:rStyle w:val="Rimandonotaapidipagina"/>
          <w:lang w:val="es-ES"/>
        </w:rPr>
        <w:t xml:space="preserve"> </w:t>
      </w:r>
      <w:r w:rsidR="002C59FC" w:rsidRPr="00F058EE">
        <w:rPr>
          <w:vertAlign w:val="superscript"/>
          <w:lang w:val="es-ES"/>
        </w:rPr>
        <w:t>3</w:t>
      </w:r>
    </w:p>
    <w:p w14:paraId="02095FB8" w14:textId="016BC740" w:rsidR="003F7A16" w:rsidRDefault="003F7A16" w:rsidP="00D26175">
      <w:pPr>
        <w:pStyle w:val="KeywordsSSPCR"/>
      </w:pPr>
      <w:r w:rsidRPr="00D26175">
        <w:t xml:space="preserve">Keywords: </w:t>
      </w:r>
      <w:bookmarkStart w:id="0" w:name="_Hlk91868488"/>
      <w:r w:rsidR="004F524E">
        <w:rPr>
          <w:szCs w:val="18"/>
        </w:rPr>
        <w:t>P</w:t>
      </w:r>
      <w:r w:rsidR="004F524E" w:rsidRPr="00607762">
        <w:rPr>
          <w:szCs w:val="18"/>
        </w:rPr>
        <w:t>ositive energy districts; PED technologies;</w:t>
      </w:r>
      <w:r w:rsidR="004F524E">
        <w:rPr>
          <w:szCs w:val="18"/>
        </w:rPr>
        <w:t xml:space="preserve"> holistic approach; PED energy flows</w:t>
      </w:r>
      <w:bookmarkEnd w:id="0"/>
    </w:p>
    <w:p w14:paraId="4EDEE8C7" w14:textId="64058E94" w:rsidR="0083446B" w:rsidRPr="00480191" w:rsidRDefault="0083446B" w:rsidP="00480191">
      <w:pPr>
        <w:pStyle w:val="AbstractAcknowledgementTextSSPCR"/>
        <w:rPr>
          <w:sz w:val="22"/>
          <w:szCs w:val="22"/>
        </w:rPr>
      </w:pPr>
      <w:r w:rsidRPr="00480191">
        <w:t xml:space="preserve">Positive energy districts are mostly defined as the interaction of more than three interconnected buildings that annually produce more renewable energy than what is consumed within the concept boundaries. In order to achieve the annual surplus of energy, implementation of renewable-driven and innovative technologies is needed. However, most cities struggle in the decision-making process (identifying technologies that are more suitable for their environment, identify the size of the technologies that is needed, how the technologies can be combined, which technologies are more economically feasible, etc.) due to the lack of information, awareness, and experience in a holistic approach. A decision-making tool for assisting PED technology selection </w:t>
      </w:r>
      <w:r w:rsidR="00295F39" w:rsidRPr="00480191">
        <w:t>was</w:t>
      </w:r>
      <w:r w:rsidRPr="00480191">
        <w:t xml:space="preserve"> developed within MAKING-CITY project, with the collaboration of ATELIER project, empowering cities with information and recommendations, aligned with their district context and city needs, priorities and district targets. Furthermore, </w:t>
      </w:r>
      <w:r w:rsidR="00295F39" w:rsidRPr="00480191">
        <w:t xml:space="preserve">although </w:t>
      </w:r>
      <w:r w:rsidRPr="00480191">
        <w:t>the calculation process for the annual energy balance of PEDs is still under discussion</w:t>
      </w:r>
      <w:r w:rsidR="00295F39" w:rsidRPr="00480191">
        <w:t xml:space="preserve"> a</w:t>
      </w:r>
      <w:r w:rsidRPr="00480191">
        <w:t xml:space="preserve"> methodology for calculating the energy flow between buildings and wider energy system was generated under MAKING-CITY</w:t>
      </w:r>
      <w:r w:rsidR="00295F39" w:rsidRPr="00480191">
        <w:t>. The methodology</w:t>
      </w:r>
      <w:r w:rsidRPr="00480191">
        <w:t xml:space="preserve"> is validated within six European cities once the PED technologies are identified. The paper presents the design of PEDs in six different European cities starting with the selection of technologies, conducting a barriers/enabler analysis, developing alternative scenarios and conducting the calculation process to verify the achievement of annual</w:t>
      </w:r>
      <w:r w:rsidR="00295F39" w:rsidRPr="00480191">
        <w:t xml:space="preserve"> primary</w:t>
      </w:r>
      <w:r w:rsidRPr="00480191">
        <w:t xml:space="preserve"> energy surplus in the districts.</w:t>
      </w:r>
    </w:p>
    <w:p w14:paraId="41DC564E" w14:textId="77777777" w:rsidR="0083446B" w:rsidRPr="0083446B" w:rsidRDefault="0083446B" w:rsidP="0083446B">
      <w:pPr>
        <w:rPr>
          <w:lang w:eastAsia="zh-CN"/>
        </w:rPr>
      </w:pPr>
    </w:p>
    <w:sectPr w:rsidR="0083446B" w:rsidRPr="0083446B"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8713" w14:textId="77777777" w:rsidR="0063291D" w:rsidRDefault="0063291D" w:rsidP="008279F5">
      <w:pPr>
        <w:spacing w:after="0"/>
      </w:pPr>
      <w:r>
        <w:separator/>
      </w:r>
    </w:p>
  </w:endnote>
  <w:endnote w:type="continuationSeparator" w:id="0">
    <w:p w14:paraId="68B1D059" w14:textId="77777777" w:rsidR="0063291D" w:rsidRDefault="0063291D" w:rsidP="008279F5">
      <w:pPr>
        <w:spacing w:after="0"/>
      </w:pPr>
      <w:r>
        <w:continuationSeparator/>
      </w:r>
    </w:p>
  </w:endnote>
  <w:endnote w:type="continuationNotice" w:id="1">
    <w:p w14:paraId="03055117" w14:textId="77777777" w:rsidR="0063291D" w:rsidRDefault="00632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BEC7F" w14:textId="77777777" w:rsidR="0063291D" w:rsidRDefault="0063291D" w:rsidP="008279F5">
      <w:pPr>
        <w:spacing w:after="0"/>
      </w:pPr>
      <w:r>
        <w:separator/>
      </w:r>
    </w:p>
  </w:footnote>
  <w:footnote w:type="continuationSeparator" w:id="0">
    <w:p w14:paraId="1EC73275" w14:textId="77777777" w:rsidR="0063291D" w:rsidRDefault="0063291D" w:rsidP="008279F5">
      <w:pPr>
        <w:spacing w:after="0"/>
      </w:pPr>
      <w:r>
        <w:continuationSeparator/>
      </w:r>
    </w:p>
  </w:footnote>
  <w:footnote w:type="continuationNotice" w:id="1">
    <w:p w14:paraId="7B70D225" w14:textId="77777777" w:rsidR="0063291D" w:rsidRDefault="0063291D">
      <w:pPr>
        <w:spacing w:after="0"/>
      </w:pPr>
    </w:p>
  </w:footnote>
  <w:footnote w:id="2">
    <w:p w14:paraId="05D0EE84" w14:textId="69104DBA" w:rsidR="00C25372" w:rsidRPr="001877E3" w:rsidRDefault="00C25372" w:rsidP="00F058EE">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4F524E" w:rsidRPr="004F524E">
        <w:rPr>
          <w:sz w:val="16"/>
          <w:szCs w:val="16"/>
          <w:lang w:val="en-US"/>
        </w:rPr>
        <w:t xml:space="preserve">Smart Cities Department, Demir Energy, </w:t>
      </w:r>
      <w:proofErr w:type="spellStart"/>
      <w:r w:rsidR="004F524E" w:rsidRPr="004F524E">
        <w:rPr>
          <w:sz w:val="16"/>
          <w:szCs w:val="16"/>
          <w:lang w:val="en-US"/>
        </w:rPr>
        <w:t>Kosuyolu</w:t>
      </w:r>
      <w:proofErr w:type="spellEnd"/>
      <w:r w:rsidR="004F524E" w:rsidRPr="004F524E">
        <w:rPr>
          <w:sz w:val="16"/>
          <w:szCs w:val="16"/>
          <w:lang w:val="en-US"/>
        </w:rPr>
        <w:t xml:space="preserve"> Cad. Halili Sk. No. 7, 34718 </w:t>
      </w:r>
      <w:proofErr w:type="spellStart"/>
      <w:r w:rsidR="004F524E" w:rsidRPr="004F524E">
        <w:rPr>
          <w:sz w:val="16"/>
          <w:szCs w:val="16"/>
          <w:lang w:val="en-US"/>
        </w:rPr>
        <w:t>Kadıköy</w:t>
      </w:r>
      <w:proofErr w:type="spellEnd"/>
      <w:r w:rsidR="004F524E" w:rsidRPr="004F524E">
        <w:rPr>
          <w:sz w:val="16"/>
          <w:szCs w:val="16"/>
          <w:lang w:val="en-US"/>
        </w:rPr>
        <w:t xml:space="preserve"> /Istanbul, Turkey; balpagut@demirenerji.com</w:t>
      </w:r>
    </w:p>
  </w:footnote>
  <w:footnote w:id="3">
    <w:p w14:paraId="7965D672" w14:textId="77777777" w:rsidR="004F524E" w:rsidRPr="00F058EE" w:rsidRDefault="00C25372" w:rsidP="00F058EE">
      <w:pPr>
        <w:pStyle w:val="Testonotaapidipagina"/>
        <w:contextualSpacing/>
        <w:rPr>
          <w:sz w:val="16"/>
          <w:szCs w:val="16"/>
          <w:lang w:val="es-ES"/>
        </w:rPr>
      </w:pPr>
      <w:r w:rsidRPr="001877E3">
        <w:rPr>
          <w:rStyle w:val="Rimandonotaapidipagina"/>
          <w:sz w:val="16"/>
          <w:szCs w:val="16"/>
        </w:rPr>
        <w:footnoteRef/>
      </w:r>
      <w:r w:rsidRPr="00F058EE">
        <w:rPr>
          <w:sz w:val="16"/>
          <w:szCs w:val="16"/>
          <w:lang w:val="es-ES"/>
        </w:rPr>
        <w:t xml:space="preserve"> </w:t>
      </w:r>
      <w:r w:rsidR="004F524E" w:rsidRPr="00F058EE">
        <w:rPr>
          <w:sz w:val="16"/>
          <w:szCs w:val="16"/>
          <w:lang w:val="es-ES"/>
        </w:rPr>
        <w:t xml:space="preserve">Energy </w:t>
      </w:r>
      <w:proofErr w:type="spellStart"/>
      <w:r w:rsidR="004F524E" w:rsidRPr="00F058EE">
        <w:rPr>
          <w:sz w:val="16"/>
          <w:szCs w:val="16"/>
          <w:lang w:val="es-ES"/>
        </w:rPr>
        <w:t>Division</w:t>
      </w:r>
      <w:proofErr w:type="spellEnd"/>
      <w:r w:rsidR="004F524E" w:rsidRPr="00F058EE">
        <w:rPr>
          <w:sz w:val="16"/>
          <w:szCs w:val="16"/>
          <w:lang w:val="es-ES"/>
        </w:rPr>
        <w:t xml:space="preserve">, CARTIF </w:t>
      </w:r>
      <w:proofErr w:type="spellStart"/>
      <w:r w:rsidR="004F524E" w:rsidRPr="00F058EE">
        <w:rPr>
          <w:sz w:val="16"/>
          <w:szCs w:val="16"/>
          <w:lang w:val="es-ES"/>
        </w:rPr>
        <w:t>Technology</w:t>
      </w:r>
      <w:proofErr w:type="spellEnd"/>
      <w:r w:rsidR="004F524E" w:rsidRPr="00F058EE">
        <w:rPr>
          <w:sz w:val="16"/>
          <w:szCs w:val="16"/>
          <w:lang w:val="es-ES"/>
        </w:rPr>
        <w:t xml:space="preserve"> Centre, Parque Tecnológico de </w:t>
      </w:r>
      <w:proofErr w:type="spellStart"/>
      <w:r w:rsidR="004F524E" w:rsidRPr="00F058EE">
        <w:rPr>
          <w:sz w:val="16"/>
          <w:szCs w:val="16"/>
          <w:lang w:val="es-ES"/>
        </w:rPr>
        <w:t>Boecillo</w:t>
      </w:r>
      <w:proofErr w:type="spellEnd"/>
      <w:r w:rsidR="004F524E" w:rsidRPr="00F058EE">
        <w:rPr>
          <w:sz w:val="16"/>
          <w:szCs w:val="16"/>
          <w:lang w:val="es-ES"/>
        </w:rPr>
        <w:t xml:space="preserve">, No. 205, </w:t>
      </w:r>
    </w:p>
    <w:p w14:paraId="3B5AF570" w14:textId="52E0D5CA" w:rsidR="00C25372" w:rsidRPr="001877E3" w:rsidRDefault="004F524E" w:rsidP="00F058EE">
      <w:pPr>
        <w:pStyle w:val="Testonotaapidipagina"/>
        <w:contextualSpacing/>
        <w:rPr>
          <w:sz w:val="16"/>
          <w:szCs w:val="16"/>
          <w:lang w:val="en-US"/>
        </w:rPr>
      </w:pPr>
      <w:r w:rsidRPr="004F524E">
        <w:rPr>
          <w:sz w:val="16"/>
          <w:szCs w:val="16"/>
          <w:lang w:val="en-US"/>
        </w:rPr>
        <w:t xml:space="preserve">47151 </w:t>
      </w:r>
      <w:proofErr w:type="spellStart"/>
      <w:r w:rsidRPr="004F524E">
        <w:rPr>
          <w:sz w:val="16"/>
          <w:szCs w:val="16"/>
          <w:lang w:val="en-US"/>
        </w:rPr>
        <w:t>Boecillo</w:t>
      </w:r>
      <w:proofErr w:type="spellEnd"/>
      <w:r w:rsidRPr="004F524E">
        <w:rPr>
          <w:sz w:val="16"/>
          <w:szCs w:val="16"/>
          <w:lang w:val="en-US"/>
        </w:rPr>
        <w:t>, Spain</w:t>
      </w:r>
    </w:p>
  </w:footnote>
  <w:footnote w:id="4">
    <w:p w14:paraId="1B053A37" w14:textId="35A0E6C4" w:rsidR="008F1D45" w:rsidRPr="00F058EE" w:rsidRDefault="004F524E" w:rsidP="00F058EE">
      <w:pPr>
        <w:pStyle w:val="MDPI16affiliation"/>
        <w:ind w:left="198"/>
        <w:rPr>
          <w:rFonts w:ascii="Arial" w:hAnsi="Arial" w:cs="Arial"/>
          <w:szCs w:val="16"/>
          <w:lang w:val="es-ES"/>
        </w:rPr>
      </w:pPr>
      <w:r w:rsidRPr="001877E3">
        <w:rPr>
          <w:rStyle w:val="Rimandonotaapidipagina"/>
          <w:szCs w:val="16"/>
        </w:rPr>
        <w:footnoteRef/>
      </w:r>
      <w:r w:rsidRPr="001877E3">
        <w:rPr>
          <w:szCs w:val="16"/>
        </w:rPr>
        <w:t xml:space="preserve"> </w:t>
      </w:r>
      <w:r w:rsidR="008F1D45" w:rsidRPr="00F058EE">
        <w:rPr>
          <w:rFonts w:ascii="Arial" w:hAnsi="Arial" w:cs="Arial"/>
          <w:szCs w:val="16"/>
          <w:lang w:val="es-ES"/>
        </w:rPr>
        <w:t xml:space="preserve">TECNALIA, </w:t>
      </w:r>
      <w:proofErr w:type="spellStart"/>
      <w:r w:rsidR="008F1D45" w:rsidRPr="00F058EE">
        <w:rPr>
          <w:rFonts w:ascii="Arial" w:hAnsi="Arial" w:cs="Arial"/>
          <w:szCs w:val="16"/>
          <w:lang w:val="es-ES"/>
        </w:rPr>
        <w:t>Basque</w:t>
      </w:r>
      <w:proofErr w:type="spellEnd"/>
      <w:r w:rsidR="008F1D45" w:rsidRPr="00F058EE">
        <w:rPr>
          <w:rFonts w:ascii="Arial" w:hAnsi="Arial" w:cs="Arial"/>
          <w:szCs w:val="16"/>
          <w:lang w:val="es-ES"/>
        </w:rPr>
        <w:t xml:space="preserve"> </w:t>
      </w:r>
      <w:proofErr w:type="spellStart"/>
      <w:r w:rsidR="008F1D45" w:rsidRPr="00F058EE">
        <w:rPr>
          <w:rFonts w:ascii="Arial" w:hAnsi="Arial" w:cs="Arial"/>
          <w:szCs w:val="16"/>
          <w:lang w:val="es-ES"/>
        </w:rPr>
        <w:t>Research</w:t>
      </w:r>
      <w:proofErr w:type="spellEnd"/>
      <w:r w:rsidR="008F1D45" w:rsidRPr="00F058EE">
        <w:rPr>
          <w:rFonts w:ascii="Arial" w:hAnsi="Arial" w:cs="Arial"/>
          <w:szCs w:val="16"/>
          <w:lang w:val="es-ES"/>
        </w:rPr>
        <w:t xml:space="preserve"> and </w:t>
      </w:r>
      <w:proofErr w:type="spellStart"/>
      <w:r w:rsidR="008F1D45" w:rsidRPr="00F058EE">
        <w:rPr>
          <w:rFonts w:ascii="Arial" w:hAnsi="Arial" w:cs="Arial"/>
          <w:szCs w:val="16"/>
          <w:lang w:val="es-ES"/>
        </w:rPr>
        <w:t>Technology</w:t>
      </w:r>
      <w:proofErr w:type="spellEnd"/>
      <w:r w:rsidR="008F1D45" w:rsidRPr="00F058EE">
        <w:rPr>
          <w:rFonts w:ascii="Arial" w:hAnsi="Arial" w:cs="Arial"/>
          <w:szCs w:val="16"/>
          <w:lang w:val="es-ES"/>
        </w:rPr>
        <w:t xml:space="preserve"> Alliance (BRTA), Astondo </w:t>
      </w:r>
      <w:proofErr w:type="spellStart"/>
      <w:r w:rsidR="008F1D45" w:rsidRPr="00F058EE">
        <w:rPr>
          <w:rFonts w:ascii="Arial" w:hAnsi="Arial" w:cs="Arial"/>
          <w:szCs w:val="16"/>
          <w:lang w:val="es-ES"/>
        </w:rPr>
        <w:t>Bidea</w:t>
      </w:r>
      <w:proofErr w:type="spellEnd"/>
      <w:r w:rsidR="008F1D45" w:rsidRPr="00F058EE">
        <w:rPr>
          <w:rFonts w:ascii="Arial" w:hAnsi="Arial" w:cs="Arial"/>
          <w:szCs w:val="16"/>
          <w:lang w:val="es-ES"/>
        </w:rPr>
        <w:t>, Edificio 700,</w:t>
      </w:r>
      <w:r w:rsidR="00F058EE">
        <w:rPr>
          <w:rFonts w:ascii="Arial" w:hAnsi="Arial" w:cs="Arial"/>
          <w:szCs w:val="16"/>
          <w:lang w:val="es-ES"/>
        </w:rPr>
        <w:t xml:space="preserve"> </w:t>
      </w:r>
      <w:r w:rsidR="008F1D45" w:rsidRPr="00F058EE">
        <w:rPr>
          <w:rFonts w:ascii="Arial" w:hAnsi="Arial" w:cs="Arial"/>
          <w:szCs w:val="16"/>
          <w:lang w:val="es-ES"/>
        </w:rPr>
        <w:t xml:space="preserve">Derio 48160, </w:t>
      </w:r>
      <w:proofErr w:type="spellStart"/>
      <w:r w:rsidR="008F1D45" w:rsidRPr="00F058EE">
        <w:rPr>
          <w:rFonts w:ascii="Arial" w:hAnsi="Arial" w:cs="Arial"/>
          <w:szCs w:val="16"/>
          <w:lang w:val="es-ES"/>
        </w:rPr>
        <w:t>Spain</w:t>
      </w:r>
      <w:proofErr w:type="spellEnd"/>
      <w:r w:rsidR="008F1D45" w:rsidRPr="00F058EE">
        <w:rPr>
          <w:rFonts w:ascii="Arial" w:hAnsi="Arial" w:cs="Arial"/>
          <w:szCs w:val="16"/>
          <w:lang w:val="es-ES"/>
        </w:rPr>
        <w:t xml:space="preserve">; </w:t>
      </w:r>
      <w:hyperlink r:id="rId1" w:history="1">
        <w:r w:rsidR="008F1D45" w:rsidRPr="00F058EE">
          <w:rPr>
            <w:rFonts w:ascii="Arial" w:hAnsi="Arial" w:cs="Arial"/>
            <w:color w:val="auto"/>
            <w:szCs w:val="16"/>
            <w:lang w:val="es-ES"/>
          </w:rPr>
          <w:t>patxi.hernandez@tecnalia.com</w:t>
        </w:r>
      </w:hyperlink>
      <w:r w:rsidR="00F058EE">
        <w:rPr>
          <w:rFonts w:ascii="Arial" w:hAnsi="Arial" w:cs="Arial"/>
          <w:szCs w:val="16"/>
          <w:lang w:val="es-ES"/>
        </w:rPr>
        <w:t xml:space="preserve">, </w:t>
      </w:r>
      <w:r w:rsidR="008F1D45" w:rsidRPr="00F058EE">
        <w:rPr>
          <w:rFonts w:ascii="Arial" w:hAnsi="Arial" w:cs="Arial"/>
          <w:szCs w:val="16"/>
          <w:lang w:val="es-ES"/>
        </w:rPr>
        <w:t>arantza.lopez@tecnalia.com</w:t>
      </w:r>
    </w:p>
    <w:p w14:paraId="58371E90" w14:textId="443BBDC0" w:rsidR="004F524E" w:rsidRPr="001877E3" w:rsidRDefault="004F524E" w:rsidP="004F524E">
      <w:pPr>
        <w:pStyle w:val="Testonotaapidipagina"/>
        <w:contextualSpacing/>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4480036">
    <w:abstractNumId w:val="2"/>
  </w:num>
  <w:num w:numId="2" w16cid:durableId="585699116">
    <w:abstractNumId w:val="19"/>
  </w:num>
  <w:num w:numId="3" w16cid:durableId="1682900019">
    <w:abstractNumId w:val="13"/>
  </w:num>
  <w:num w:numId="4" w16cid:durableId="1901016650">
    <w:abstractNumId w:val="9"/>
  </w:num>
  <w:num w:numId="5" w16cid:durableId="1478452285">
    <w:abstractNumId w:val="4"/>
  </w:num>
  <w:num w:numId="6" w16cid:durableId="122894318">
    <w:abstractNumId w:val="5"/>
  </w:num>
  <w:num w:numId="7" w16cid:durableId="594217114">
    <w:abstractNumId w:val="7"/>
  </w:num>
  <w:num w:numId="8" w16cid:durableId="1784037363">
    <w:abstractNumId w:val="31"/>
  </w:num>
  <w:num w:numId="9" w16cid:durableId="1198348157">
    <w:abstractNumId w:val="27"/>
  </w:num>
  <w:num w:numId="10" w16cid:durableId="1326394226">
    <w:abstractNumId w:val="21"/>
  </w:num>
  <w:num w:numId="11" w16cid:durableId="1301032675">
    <w:abstractNumId w:val="10"/>
  </w:num>
  <w:num w:numId="12" w16cid:durableId="153029162">
    <w:abstractNumId w:val="39"/>
  </w:num>
  <w:num w:numId="13" w16cid:durableId="77486263">
    <w:abstractNumId w:val="32"/>
  </w:num>
  <w:num w:numId="14" w16cid:durableId="334651441">
    <w:abstractNumId w:val="23"/>
  </w:num>
  <w:num w:numId="15" w16cid:durableId="1726752940">
    <w:abstractNumId w:val="40"/>
  </w:num>
  <w:num w:numId="16" w16cid:durableId="1160269422">
    <w:abstractNumId w:val="33"/>
  </w:num>
  <w:num w:numId="17" w16cid:durableId="691372029">
    <w:abstractNumId w:val="29"/>
  </w:num>
  <w:num w:numId="18" w16cid:durableId="244461250">
    <w:abstractNumId w:val="17"/>
  </w:num>
  <w:num w:numId="19" w16cid:durableId="408813990">
    <w:abstractNumId w:val="25"/>
  </w:num>
  <w:num w:numId="20" w16cid:durableId="728187602">
    <w:abstractNumId w:val="16"/>
  </w:num>
  <w:num w:numId="21" w16cid:durableId="569343534">
    <w:abstractNumId w:val="3"/>
  </w:num>
  <w:num w:numId="22" w16cid:durableId="1321349626">
    <w:abstractNumId w:val="35"/>
  </w:num>
  <w:num w:numId="23" w16cid:durableId="1284772200">
    <w:abstractNumId w:val="6"/>
  </w:num>
  <w:num w:numId="24" w16cid:durableId="2000501320">
    <w:abstractNumId w:val="36"/>
  </w:num>
  <w:num w:numId="25" w16cid:durableId="850418134">
    <w:abstractNumId w:val="38"/>
  </w:num>
  <w:num w:numId="26" w16cid:durableId="2064399669">
    <w:abstractNumId w:val="11"/>
  </w:num>
  <w:num w:numId="27" w16cid:durableId="2145921886">
    <w:abstractNumId w:val="8"/>
  </w:num>
  <w:num w:numId="28" w16cid:durableId="1539389465">
    <w:abstractNumId w:val="28"/>
  </w:num>
  <w:num w:numId="29" w16cid:durableId="526870781">
    <w:abstractNumId w:val="26"/>
  </w:num>
  <w:num w:numId="30" w16cid:durableId="1680428392">
    <w:abstractNumId w:val="37"/>
  </w:num>
  <w:num w:numId="31" w16cid:durableId="150873479">
    <w:abstractNumId w:val="15"/>
  </w:num>
  <w:num w:numId="32" w16cid:durableId="1150712312">
    <w:abstractNumId w:val="1"/>
  </w:num>
  <w:num w:numId="33" w16cid:durableId="456534192">
    <w:abstractNumId w:val="34"/>
  </w:num>
  <w:num w:numId="34" w16cid:durableId="277683111">
    <w:abstractNumId w:val="20"/>
  </w:num>
  <w:num w:numId="35" w16cid:durableId="1581984446">
    <w:abstractNumId w:val="30"/>
  </w:num>
  <w:num w:numId="36" w16cid:durableId="542715592">
    <w:abstractNumId w:val="14"/>
  </w:num>
  <w:num w:numId="37" w16cid:durableId="1784300718">
    <w:abstractNumId w:val="0"/>
  </w:num>
  <w:num w:numId="38" w16cid:durableId="529951266">
    <w:abstractNumId w:val="24"/>
  </w:num>
  <w:num w:numId="39" w16cid:durableId="1211763239">
    <w:abstractNumId w:val="22"/>
  </w:num>
  <w:num w:numId="40" w16cid:durableId="806430479">
    <w:abstractNumId w:val="18"/>
  </w:num>
  <w:num w:numId="41" w16cid:durableId="1493252011">
    <w:abstractNumId w:val="24"/>
  </w:num>
  <w:num w:numId="42" w16cid:durableId="1147094170">
    <w:abstractNumId w:val="24"/>
  </w:num>
  <w:num w:numId="43" w16cid:durableId="1930042465">
    <w:abstractNumId w:val="12"/>
  </w:num>
  <w:num w:numId="44" w16cid:durableId="1215846182">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es-ES" w:vendorID="64" w:dllVersion="0" w:nlCheck="1" w:checkStyle="0"/>
  <w:activeWritingStyle w:appName="MSWord" w:lang="es-E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55BB"/>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BA0"/>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5F39"/>
    <w:rsid w:val="00297317"/>
    <w:rsid w:val="002A08DB"/>
    <w:rsid w:val="002A0AA8"/>
    <w:rsid w:val="002A0EFB"/>
    <w:rsid w:val="002A300B"/>
    <w:rsid w:val="002A30A8"/>
    <w:rsid w:val="002B2A15"/>
    <w:rsid w:val="002B47FB"/>
    <w:rsid w:val="002B6850"/>
    <w:rsid w:val="002C0015"/>
    <w:rsid w:val="002C12B8"/>
    <w:rsid w:val="002C32F8"/>
    <w:rsid w:val="002C59FC"/>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0191"/>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4F524E"/>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63D17"/>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291D"/>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446B"/>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1D45"/>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3B2B"/>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07AD9"/>
    <w:rsid w:val="00B109C5"/>
    <w:rsid w:val="00B14A7B"/>
    <w:rsid w:val="00B1786A"/>
    <w:rsid w:val="00B17DEA"/>
    <w:rsid w:val="00B23ADD"/>
    <w:rsid w:val="00B30130"/>
    <w:rsid w:val="00B31673"/>
    <w:rsid w:val="00B42DAB"/>
    <w:rsid w:val="00B456CC"/>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77620"/>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D6F53"/>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2751"/>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58EE"/>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480191"/>
    <w:pPr>
      <w:widowControl w:val="0"/>
      <w:spacing w:after="0"/>
      <w:contextualSpacing/>
    </w:pPr>
    <w:rPr>
      <w:rFonts w:ascii="Arial" w:hAnsi="Arial" w:cs="Arial"/>
      <w:color w:val="222222"/>
      <w:sz w:val="20"/>
      <w:szCs w:val="20"/>
      <w:shd w:val="clear" w:color="auto" w:fill="FFFFFF"/>
    </w:rPr>
  </w:style>
  <w:style w:type="character" w:styleId="Menzionenonrisolta">
    <w:name w:val="Unresolved Mention"/>
    <w:basedOn w:val="Carpredefinitoparagrafo"/>
    <w:uiPriority w:val="99"/>
    <w:semiHidden/>
    <w:unhideWhenUsed/>
    <w:rsid w:val="0010313A"/>
    <w:rPr>
      <w:color w:val="605E5C"/>
      <w:shd w:val="clear" w:color="auto" w:fill="E1DFDD"/>
    </w:rPr>
  </w:style>
  <w:style w:type="paragraph" w:customStyle="1" w:styleId="MDPI12title">
    <w:name w:val="MDPI_1.2_title"/>
    <w:next w:val="Normale"/>
    <w:qFormat/>
    <w:rsid w:val="004F524E"/>
    <w:pPr>
      <w:adjustRightInd w:val="0"/>
      <w:snapToGrid w:val="0"/>
      <w:spacing w:after="240" w:line="240" w:lineRule="atLeast"/>
    </w:pPr>
    <w:rPr>
      <w:rFonts w:ascii="Palatino Linotype" w:eastAsia="Times New Roman" w:hAnsi="Palatino Linotype"/>
      <w:b/>
      <w:snapToGrid w:val="0"/>
      <w:color w:val="000000"/>
      <w:sz w:val="36"/>
      <w:lang w:eastAsia="de-DE" w:bidi="en-US"/>
    </w:rPr>
  </w:style>
  <w:style w:type="paragraph" w:customStyle="1" w:styleId="MDPI43tablefooter">
    <w:name w:val="MDPI_4.3_table_footer"/>
    <w:next w:val="Normale"/>
    <w:qFormat/>
    <w:rsid w:val="004F524E"/>
    <w:pPr>
      <w:adjustRightInd w:val="0"/>
      <w:snapToGrid w:val="0"/>
      <w:spacing w:line="228" w:lineRule="auto"/>
      <w:ind w:left="2608"/>
      <w:jc w:val="both"/>
    </w:pPr>
    <w:rPr>
      <w:rFonts w:ascii="Palatino Linotype" w:eastAsia="Times New Roman" w:hAnsi="Palatino Linotype" w:cs="Cordia New"/>
      <w:color w:val="000000"/>
      <w:sz w:val="18"/>
      <w:szCs w:val="22"/>
      <w:lang w:eastAsia="de-DE" w:bidi="en-US"/>
    </w:rPr>
  </w:style>
  <w:style w:type="paragraph" w:customStyle="1" w:styleId="MDPI16affiliation">
    <w:name w:val="MDPI_1.6_affiliation"/>
    <w:qFormat/>
    <w:rsid w:val="008F1D45"/>
    <w:pPr>
      <w:adjustRightInd w:val="0"/>
      <w:snapToGrid w:val="0"/>
      <w:spacing w:line="200" w:lineRule="atLeast"/>
      <w:ind w:left="2806" w:hanging="198"/>
    </w:pPr>
    <w:rPr>
      <w:rFonts w:ascii="Palatino Linotype" w:eastAsia="Times New Roman" w:hAnsi="Palatino Linotype"/>
      <w:color w:val="000000"/>
      <w:sz w:val="16"/>
      <w:szCs w:val="18"/>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338394106">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patxi.hernandez@tecnali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D38D1C59-5DC0-4ECE-BBC5-2755910526D2}">
  <ds:schemaRefs>
    <ds:schemaRef ds:uri="http://schemas.openxmlformats.org/officeDocument/2006/bibliography"/>
  </ds:schemaRefs>
</ds:datastoreItem>
</file>

<file path=customXml/itemProps3.xml><?xml version="1.0" encoding="utf-8"?>
<ds:datastoreItem xmlns:ds="http://schemas.openxmlformats.org/officeDocument/2006/customXml" ds:itemID="{AF965852-B206-48A7-944A-46502D8E1292}"/>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274</Words>
  <Characters>1568</Characters>
  <Application>Microsoft Office Word</Application>
  <DocSecurity>0</DocSecurity>
  <Lines>13</Lines>
  <Paragraphs>3</Paragraphs>
  <ScaleCrop>false</ScaleCrop>
  <HeadingPairs>
    <vt:vector size="6" baseType="variant">
      <vt:variant>
        <vt:lpstr>Título</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Scientific Network</Company>
  <LinksUpToDate>false</LinksUpToDate>
  <CharactersWithSpaces>1839</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7</cp:revision>
  <cp:lastPrinted>2017-03-13T18:23:00Z</cp:lastPrinted>
  <dcterms:created xsi:type="dcterms:W3CDTF">2022-03-11T07:03:00Z</dcterms:created>
  <dcterms:modified xsi:type="dcterms:W3CDTF">2022-06-27T20:26:00Z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